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53ddd6b118404737f7d30348aef929eaa11313b"/>
    <w:p>
      <w:pPr>
        <w:pStyle w:val="Heading2"/>
      </w:pPr>
      <w:r>
        <w:t xml:space="preserve">REQUERIMENTO DE DESPEJO URGENTE – MEDIDA CAUTELAR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Autor / Requerente: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pessoa coletiva número</w:t>
      </w:r>
      <w:r>
        <w:t xml:space="preserve"> </w:t>
      </w:r>
      <w:r>
        <w:rPr>
          <w:b/>
          <w:bCs/>
        </w:rPr>
        <w:t xml:space="preserve">NIF 508 123 456</w:t>
      </w:r>
      <w:r>
        <w:t xml:space="preserve">, com sede em Av. da Liberdade, 45, 1250‑145 Lisboa.</w:t>
      </w:r>
      <w:r>
        <w:br/>
      </w:r>
      <w:r>
        <w:rPr>
          <w:b/>
          <w:bCs/>
        </w:rPr>
        <w:t xml:space="preserve">Réu / Requerido:</w:t>
      </w:r>
      <w:r>
        <w:t xml:space="preserve"> </w:t>
      </w:r>
      <w:r>
        <w:rPr>
          <w:b/>
          <w:bCs/>
        </w:rPr>
        <w:t xml:space="preserve">Sr. João da Silva</w:t>
      </w:r>
      <w:r>
        <w:t xml:space="preserve">, contribuinte número</w:t>
      </w:r>
      <w:r>
        <w:t xml:space="preserve"> </w:t>
      </w:r>
      <w:r>
        <w:rPr>
          <w:b/>
          <w:bCs/>
        </w:rPr>
        <w:t xml:space="preserve">NIF 219 876 543</w:t>
      </w:r>
      <w:r>
        <w:t xml:space="preserve">, residente em Rua das Flores, 12, 3.º Dto., 4000‑123 Porto.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 Ana Martins (OAB/Portugal 12345) e Dr. Luís Pereira (OAB/Portugal 67890) – Advogados da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Exmo. Sr. Juiz de Direito da Vara Cível de Lisboa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3"/>
      </w:pPr>
      <w:r>
        <w:t xml:space="preserve">I. Exposição dos Factos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celebrado entre as partes em 10 de janeiro de 2020, com vigência até 9 de janeiro de 2025, tendo por objeto o estabelecimento comercial situado no</w:t>
      </w:r>
      <w:r>
        <w:t xml:space="preserve"> </w:t>
      </w:r>
      <w:r>
        <w:rPr>
          <w:b/>
          <w:bCs/>
        </w:rPr>
        <w:t xml:space="preserve">Lote 23, R/C, Edifício “Central Business”, Rua da Boavista, 1200‑005 Lisboa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contrato prevê, na sua cláusula 5.º, o pagamento de</w:t>
      </w:r>
      <w:r>
        <w:t xml:space="preserve"> </w:t>
      </w:r>
      <w:r>
        <w:rPr>
          <w:b/>
          <w:bCs/>
        </w:rPr>
        <w:t xml:space="preserve">renda mensal de € 4 500,00 (quatro mil e quinhentos euros)</w:t>
      </w:r>
      <w:r>
        <w:t xml:space="preserve">, a vencer até ao dia 5.º de cada mês, bem como a obrigação do arrendatário de não efectuar obras sem prévia autorização escrita do senhorio.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réu deixou de pagar as rendas referentes aos meses de</w:t>
      </w:r>
      <w:r>
        <w:t xml:space="preserve"> </w:t>
      </w:r>
      <w:r>
        <w:rPr>
          <w:b/>
          <w:bCs/>
        </w:rPr>
        <w:t xml:space="preserve">julho a fevereiro de 2024</w:t>
      </w:r>
      <w:r>
        <w:t xml:space="preserve"> </w:t>
      </w:r>
      <w:r>
        <w:t xml:space="preserve">(total de oito meses), totalizando</w:t>
      </w:r>
      <w:r>
        <w:t xml:space="preserve"> </w:t>
      </w:r>
      <w:r>
        <w:rPr>
          <w:b/>
          <w:bCs/>
        </w:rPr>
        <w:t xml:space="preserve">€ 36 000,00</w:t>
      </w:r>
      <w:r>
        <w:t xml:space="preserve"> </w:t>
      </w:r>
      <w:r>
        <w:t xml:space="preserve">em dívida.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Entre outubro e dezembro de 2023, o réu realizou obras de remodelação interior – instalação de iluminação LED e alteração da fachada – sem a autorização prevista no contrato, causando</w:t>
      </w:r>
      <w:r>
        <w:t xml:space="preserve"> </w:t>
      </w:r>
      <w:r>
        <w:rPr>
          <w:b/>
          <w:bCs/>
        </w:rPr>
        <w:t xml:space="preserve">danos materiais</w:t>
      </w:r>
      <w:r>
        <w:t xml:space="preserve"> </w:t>
      </w:r>
      <w:r>
        <w:t xml:space="preserve">avaliados em</w:t>
      </w:r>
      <w:r>
        <w:t xml:space="preserve"> </w:t>
      </w:r>
      <w:r>
        <w:rPr>
          <w:b/>
          <w:bCs/>
        </w:rPr>
        <w:t xml:space="preserve">€ 12 500,00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10 de março de 2024</w:t>
      </w:r>
      <w:r>
        <w:t xml:space="preserve">, o senhorio enviou notificação extrajudicial ao réu, por carta registada com aviso de receção, requerendo o pagamento das rendas em atraso, a regularização das obras e a entrega do imóvel, concedendo-lhe</w:t>
      </w:r>
      <w:r>
        <w:t xml:space="preserve"> </w:t>
      </w:r>
      <w:r>
        <w:rPr>
          <w:b/>
          <w:bCs/>
        </w:rPr>
        <w:t xml:space="preserve">15 dias</w:t>
      </w:r>
      <w:r>
        <w:t xml:space="preserve"> </w:t>
      </w:r>
      <w:r>
        <w:t xml:space="preserve">para cumprimento. A notificação foi recebida em</w:t>
      </w:r>
      <w:r>
        <w:t xml:space="preserve"> </w:t>
      </w:r>
      <w:r>
        <w:rPr>
          <w:b/>
          <w:bCs/>
        </w:rPr>
        <w:t xml:space="preserve">12 de março de 2024</w:t>
      </w:r>
      <w:r>
        <w:t xml:space="preserve">, permanecendo o réu inerte.</w: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625"/>
        <w:gridCol w:w="3334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  <w:tc>
          <w:tcPr/>
          <w:p>
            <w:pPr>
              <w:pStyle w:val="Compact"/>
            </w:pPr>
            <w:r>
              <w:t xml:space="preserve">Artigo do CPC / CC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Caducidade do contrato</w:t>
            </w:r>
            <w:r>
              <w:t xml:space="preserve"> </w:t>
            </w:r>
            <w:r>
              <w:t xml:space="preserve">por mora no pagamento da renda, nos termos do art. 1072.º, n.º 2, do Código Civil.</w:t>
            </w:r>
          </w:p>
        </w:tc>
        <w:tc>
          <w:tcPr/>
          <w:p>
            <w:pPr>
              <w:pStyle w:val="Compact"/>
            </w:pPr>
            <w:r>
              <w:t xml:space="preserve">CC, art. 1072.º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Direito de despejo</w:t>
            </w:r>
            <w:r>
              <w:t xml:space="preserve"> </w:t>
            </w:r>
            <w:r>
              <w:t xml:space="preserve">por incumprimento contratual, nos termos do art. 1073.º, n.º 1, do Código Civil.</w:t>
            </w:r>
          </w:p>
        </w:tc>
        <w:tc>
          <w:tcPr/>
          <w:p>
            <w:pPr>
              <w:pStyle w:val="Compact"/>
            </w:pPr>
            <w:r>
              <w:t xml:space="preserve">CC, art. 1073.º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Medida cautelar de despejo</w:t>
            </w:r>
            <w:r>
              <w:t xml:space="preserve"> </w:t>
            </w:r>
            <w:r>
              <w:t xml:space="preserve">para evitar a continuação dos danos e a impossibilidade de futura reintegração do imóvel, nos termos dos arts. 562.º a 569.º do Código de Processo Civil.</w:t>
            </w:r>
          </w:p>
        </w:tc>
        <w:tc>
          <w:tcPr/>
          <w:p>
            <w:pPr>
              <w:pStyle w:val="Compact"/>
            </w:pPr>
            <w:r>
              <w:t xml:space="preserve">CPC, arts. 562.º‑569.º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Juros moratórios</w:t>
            </w:r>
            <w:r>
              <w:t xml:space="preserve"> </w:t>
            </w:r>
            <w:r>
              <w:t xml:space="preserve">à taxa legal em vigor (8 % ao ano) a contar do dia seguinte ao vencimento de cada renda em atraso, nos termos do art. 408.º do CC.</w:t>
            </w:r>
          </w:p>
        </w:tc>
        <w:tc>
          <w:tcPr/>
          <w:p>
            <w:pPr>
              <w:pStyle w:val="Compact"/>
            </w:pPr>
            <w:r>
              <w:t xml:space="preserve">CC, art. 408.º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obras não autorizadas</w:t>
            </w:r>
            <w:r>
              <w:t xml:space="preserve"> </w:t>
            </w:r>
            <w:r>
              <w:t xml:space="preserve">e danos emergentes, nos termos do art. 483.º do CC.</w:t>
            </w:r>
          </w:p>
        </w:tc>
        <w:tc>
          <w:tcPr/>
          <w:p>
            <w:pPr>
              <w:pStyle w:val="Compact"/>
            </w:pPr>
            <w:r>
              <w:t xml:space="preserve">CC, art. 483.º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Presunção de urgência</w:t>
            </w:r>
            <w:r>
              <w:t xml:space="preserve"> </w:t>
            </w:r>
            <w:r>
              <w:t xml:space="preserve">dada a impossibilidade de o senhorio retomar a exploração comercial do imóvel, justificando a medida cautelar sem a necessidade de audiência prévia, conforme art. 562.º, n.º 1, CPC.</w:t>
            </w:r>
          </w:p>
        </w:tc>
        <w:tc>
          <w:tcPr/>
          <w:p>
            <w:pPr>
              <w:pStyle w:val="Compact"/>
            </w:pPr>
            <w:r>
              <w:t xml:space="preserve">CPC, art. 562.º</w:t>
            </w:r>
          </w:p>
        </w:tc>
      </w:tr>
    </w:tbl>
    <w:bookmarkEnd w:id="10"/>
    <w:bookmarkStart w:id="11" w:name="iii.-pedidos"/>
    <w:p>
      <w:pPr>
        <w:pStyle w:val="Heading3"/>
      </w:pPr>
      <w:r>
        <w:t xml:space="preserve">III. Pedidos</w:t>
      </w:r>
    </w:p>
    <w:p>
      <w:pPr>
        <w:pStyle w:val="FirstParagraph"/>
      </w:pPr>
      <w:r>
        <w:rPr>
          <w:b/>
          <w:bCs/>
        </w:rPr>
        <w:t xml:space="preserve">Nos termos expostos, requer-se a V. Exa. que se digne a: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Conceder medida cautelar de despejo imediato</w:t>
      </w:r>
      <w:r>
        <w:t xml:space="preserve">, determinando a desocupação forçada do imóvel sito na Rua da Boavista, n.º 1200‑005 Lisboa, no prazo máximo de</w:t>
      </w:r>
      <w:r>
        <w:t xml:space="preserve"> </w:t>
      </w:r>
      <w:r>
        <w:rPr>
          <w:b/>
          <w:bCs/>
        </w:rPr>
        <w:t xml:space="preserve">48 horas</w:t>
      </w:r>
      <w:r>
        <w:t xml:space="preserve"> </w:t>
      </w:r>
      <w:r>
        <w:t xml:space="preserve">a contar da notificação desta decisão, sob pena de execução forçada e arresto de bens.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Autorizar a realização de obras de conservação</w:t>
      </w:r>
      <w:r>
        <w:t xml:space="preserve"> </w:t>
      </w:r>
      <w:r>
        <w:t xml:space="preserve">necessárias para reparar os danos causados pelo réu, bem como a restituição do imóvel ao estado anterior, podendo o senhorio proceder à sua execução, com posterior cobrança ao réu.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Fixar a quantia devida</w:t>
      </w:r>
      <w:r>
        <w:t xml:space="preserve"> </w:t>
      </w:r>
      <w:r>
        <w:t xml:space="preserve">pelo réu, a título de rendas em atraso, juros moratórios e indemnização por danos, nos seguintes termos: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dívida (8 meses)</w:t>
            </w:r>
          </w:p>
        </w:tc>
        <w:tc>
          <w:tcPr/>
          <w:p>
            <w:pPr>
              <w:pStyle w:val="Compact"/>
            </w:pPr>
            <w:r>
              <w:t xml:space="preserve">36 000,00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 (8 % a.a., de 6 de julho a 15 de março de 2024)</w:t>
            </w:r>
          </w:p>
        </w:tc>
        <w:tc>
          <w:tcPr/>
          <w:p>
            <w:pPr>
              <w:pStyle w:val="Compact"/>
            </w:pPr>
            <w:r>
              <w:t xml:space="preserve">2 400,00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 e danos materiais</w:t>
            </w:r>
          </w:p>
        </w:tc>
        <w:tc>
          <w:tcPr/>
          <w:p>
            <w:pPr>
              <w:pStyle w:val="Compact"/>
            </w:pPr>
            <w:r>
              <w:t xml:space="preserve">12 500,00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50 900,00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Determinar a penhora de bens</w:t>
      </w:r>
      <w:r>
        <w:t xml:space="preserve"> </w:t>
      </w:r>
      <w:r>
        <w:t xml:space="preserve">do réu, até ao montante total da dívida (incluindo custas e despesas judiciais), nos termos do art. 660.º do CPC.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Condenar o réu ao pagamento das custas processuais e dos honorários de advogado</w:t>
      </w:r>
      <w:r>
        <w:t xml:space="preserve">, fixados em</w:t>
      </w:r>
      <w:r>
        <w:t xml:space="preserve"> </w:t>
      </w:r>
      <w:r>
        <w:rPr>
          <w:b/>
          <w:bCs/>
        </w:rPr>
        <w:t xml:space="preserve">10 %</w:t>
      </w:r>
      <w:r>
        <w:t xml:space="preserve"> </w:t>
      </w:r>
      <w:r>
        <w:t xml:space="preserve">do valor total da dívida, nos termos do art. 84.º do CPC.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Intimar o réu</w:t>
      </w:r>
      <w:r>
        <w:t xml:space="preserve">, por meio de citação, a apresentar contestação no prazo de</w:t>
      </w:r>
      <w:r>
        <w:t xml:space="preserve"> </w:t>
      </w:r>
      <w:r>
        <w:rPr>
          <w:b/>
          <w:bCs/>
        </w:rPr>
        <w:t xml:space="preserve">15 dias</w:t>
      </w:r>
      <w:r>
        <w:t xml:space="preserve">, sob pena de revelia e confissão ficta nos termos do art. 607.º do CPC.</w:t>
      </w:r>
    </w:p>
    <w:bookmarkEnd w:id="11"/>
    <w:bookmarkStart w:id="12" w:name="iv.-provas"/>
    <w:p>
      <w:pPr>
        <w:pStyle w:val="Heading3"/>
      </w:pPr>
      <w:r>
        <w:t xml:space="preserve">IV. Provas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(cópia autenticada).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Notificações extrajudiciais</w:t>
      </w:r>
      <w:r>
        <w:t xml:space="preserve"> </w:t>
      </w:r>
      <w:r>
        <w:t xml:space="preserve">enviadas ao réu (cópia da carta registada e comprovativo de entrega).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Comprovativos de pagamento</w:t>
      </w:r>
      <w:r>
        <w:t xml:space="preserve"> </w:t>
      </w:r>
      <w:r>
        <w:t xml:space="preserve">das rendas até junho de 2023 (extratos bancários).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Orçamentos e faturas</w:t>
      </w:r>
      <w:r>
        <w:t xml:space="preserve"> </w:t>
      </w:r>
      <w:r>
        <w:t xml:space="preserve">referentes às obras realizadas sem autorização (empresa “Luz &amp; Design”, Lda., NIF 502 334 221).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Laudos periciais</w:t>
      </w:r>
      <w:r>
        <w:t xml:space="preserve"> </w:t>
      </w:r>
      <w:r>
        <w:t xml:space="preserve">de avaliação dos danos materiais (perito judicial Dr. Mário Silva, NIF 224 567 890).</w:t>
      </w:r>
    </w:p>
    <w:bookmarkEnd w:id="12"/>
    <w:bookmarkStart w:id="13" w:name="v.-conclusão"/>
    <w:p>
      <w:pPr>
        <w:pStyle w:val="Heading3"/>
      </w:pPr>
      <w:r>
        <w:t xml:space="preserve">V. Conclusão</w:t>
      </w:r>
    </w:p>
    <w:p>
      <w:pPr>
        <w:pStyle w:val="FirstParagraph"/>
      </w:pPr>
      <w:r>
        <w:t xml:space="preserve">Em face da</w:t>
      </w:r>
      <w:r>
        <w:t xml:space="preserve"> </w:t>
      </w:r>
      <w:r>
        <w:rPr>
          <w:b/>
          <w:bCs/>
        </w:rPr>
        <w:t xml:space="preserve">grave mora</w:t>
      </w:r>
      <w:r>
        <w:t xml:space="preserve"> </w:t>
      </w:r>
      <w:r>
        <w:t xml:space="preserve">do réu, da</w:t>
      </w:r>
      <w:r>
        <w:t xml:space="preserve"> </w:t>
      </w:r>
      <w:r>
        <w:rPr>
          <w:b/>
          <w:bCs/>
        </w:rPr>
        <w:t xml:space="preserve">continuação dos danos ao imóvel</w:t>
      </w:r>
      <w:r>
        <w:t xml:space="preserve"> </w:t>
      </w:r>
      <w:r>
        <w:t xml:space="preserve">e da</w:t>
      </w:r>
      <w:r>
        <w:t xml:space="preserve"> </w:t>
      </w:r>
      <w:r>
        <w:rPr>
          <w:b/>
          <w:bCs/>
        </w:rPr>
        <w:t xml:space="preserve">necessidade de preservação dos direitos patrimoniais</w:t>
      </w:r>
      <w:r>
        <w:t xml:space="preserve"> </w:t>
      </w:r>
      <w:r>
        <w:t xml:space="preserve">do senhorio, a concessão da medida cautelar de despejo imediato revela‑se</w:t>
      </w:r>
      <w:r>
        <w:t xml:space="preserve"> </w:t>
      </w:r>
      <w:r>
        <w:rPr>
          <w:b/>
          <w:bCs/>
        </w:rPr>
        <w:t xml:space="preserve">imperiosa</w:t>
      </w:r>
      <w:r>
        <w:t xml:space="preserve"> </w:t>
      </w:r>
      <w:r>
        <w:t xml:space="preserve">para evitar prejuízos irreparáveis e garantir a efetividade da futura execução da sentença principal.</w:t>
      </w:r>
    </w:p>
    <w:p>
      <w:pPr>
        <w:pStyle w:val="BodyText"/>
      </w:pPr>
      <w:r>
        <w:t xml:space="preserve">Pede‑deferimento.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Ana Martins</w:t>
      </w:r>
      <w:r>
        <w:t xml:space="preserve"> </w:t>
      </w:r>
      <w:r>
        <w:t xml:space="preserve">– OAB/Portugal 12345</w:t>
      </w:r>
      <w:r>
        <w:br/>
      </w:r>
      <w:r>
        <w:rPr>
          <w:b/>
          <w:bCs/>
        </w:rPr>
        <w:t xml:space="preserve">Dr. Luís Pereira</w:t>
      </w:r>
      <w:r>
        <w:t xml:space="preserve"> </w:t>
      </w:r>
      <w:r>
        <w:t xml:space="preserve">– OAB/Portugal 67890</w:t>
      </w:r>
    </w:p>
    <w:p>
      <w:pPr>
        <w:pStyle w:val="BodyText"/>
      </w:pPr>
      <w:r>
        <w:rPr>
          <w:i/>
          <w:iCs/>
        </w:rPr>
        <w:t xml:space="preserve">Advogados da Empresa de Arrendamento Comercial, Lda.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